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附件1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：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left"/>
        <w:rPr>
          <w:rFonts w:hint="default" w:ascii="黑体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left"/>
        <w:rPr>
          <w:rFonts w:hint="default" w:ascii="黑体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left"/>
        <w:rPr>
          <w:rFonts w:hint="default" w:ascii="黑体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left"/>
        <w:rPr>
          <w:rFonts w:hint="default" w:ascii="黑体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left"/>
        <w:rPr>
          <w:rFonts w:hint="default" w:ascii="黑体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52"/>
          <w:szCs w:val="52"/>
        </w:rPr>
      </w:pPr>
      <w:r>
        <w:rPr>
          <w:rFonts w:hint="default" w:ascii="黑体" w:hAnsi="黑体" w:eastAsia="黑体"/>
          <w:color w:val="auto"/>
          <w:position w:val="0"/>
          <w:sz w:val="52"/>
          <w:szCs w:val="52"/>
        </w:rPr>
        <w:t>焦作市总工会技术协作办公室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52"/>
          <w:szCs w:val="52"/>
        </w:rPr>
      </w:pPr>
      <w:r>
        <w:rPr>
          <w:rFonts w:hint="default" w:ascii="黑体" w:hAnsi="黑体" w:eastAsia="黑体"/>
          <w:color w:val="auto"/>
          <w:position w:val="0"/>
          <w:sz w:val="52"/>
          <w:szCs w:val="52"/>
        </w:rPr>
        <w:t>201</w:t>
      </w:r>
      <w:r>
        <w:rPr>
          <w:rFonts w:hint="eastAsia" w:ascii="黑体" w:hAnsi="黑体" w:eastAsia="黑体"/>
          <w:color w:val="auto"/>
          <w:position w:val="0"/>
          <w:sz w:val="52"/>
          <w:szCs w:val="52"/>
          <w:lang w:val="en-US" w:eastAsia="zh-CN"/>
        </w:rPr>
        <w:t>9</w:t>
      </w:r>
      <w:r>
        <w:rPr>
          <w:rFonts w:hint="default" w:ascii="黑体" w:hAnsi="黑体" w:eastAsia="黑体"/>
          <w:color w:val="auto"/>
          <w:position w:val="0"/>
          <w:sz w:val="52"/>
          <w:szCs w:val="52"/>
        </w:rPr>
        <w:t>年度部门预算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52"/>
          <w:szCs w:val="5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52"/>
          <w:szCs w:val="5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52"/>
          <w:szCs w:val="5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52"/>
          <w:szCs w:val="5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52"/>
          <w:szCs w:val="52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right="0" w:firstLine="0"/>
        <w:jc w:val="center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right="0" w:firstLine="0"/>
        <w:jc w:val="both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kinsoku w:val="0"/>
        <w:overflowPunct w:val="0"/>
        <w:autoSpaceDE/>
        <w:autoSpaceDN/>
        <w:snapToGrid w:val="0"/>
        <w:spacing w:before="0" w:after="160" w:line="360" w:lineRule="auto"/>
        <w:ind w:left="101" w:right="3569" w:firstLine="624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仿宋_GB2312" w:hAnsi="仿宋_GB2312" w:eastAsia="仿宋_GB2312"/>
          <w:color w:val="auto"/>
          <w:position w:val="0"/>
          <w:sz w:val="44"/>
          <w:szCs w:val="44"/>
        </w:rPr>
      </w:pPr>
      <w:r>
        <w:rPr>
          <w:rFonts w:hint="default" w:ascii="仿宋_GB2312" w:hAnsi="仿宋_GB2312" w:eastAsia="仿宋_GB2312"/>
          <w:color w:val="auto"/>
          <w:position w:val="0"/>
          <w:sz w:val="44"/>
          <w:szCs w:val="44"/>
        </w:rPr>
        <w:t>目录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第一部分 概况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一、主要职能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二、部门预算单位构成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第二部分 总工会技术协作办公室201</w:t>
      </w:r>
      <w:r>
        <w:rPr>
          <w:rFonts w:hint="eastAsia" w:ascii="仿宋_GB2312" w:hAnsi="仿宋_GB2312" w:eastAsia="仿宋_GB2312"/>
          <w:b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年部门预算情况说明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第三部分 名词解释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附件：总工会技术协作办公室201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年度部门预算表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一、部门收支总体情况表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二、部门收入总体情况表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三、部门支出总体情况表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四、财政拨款收支总体情况表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五、一般公共预算支出情况表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六、一般公共预算基本支出情况表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七、一般公共预算“三公”经费支出情况表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八、政府性基金预算支出情况表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九、国有资本经营预算收支情况表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十、机关运行经费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91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十一、预算项目支出绩效目标表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right="0" w:firstLine="374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第一部分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总工会技术协作办公室概况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一、主要职能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800"/>
        <w:jc w:val="left"/>
        <w:rPr>
          <w:rFonts w:hint="default" w:ascii="仿宋_GB2312" w:hAnsi="仿宋_GB2312" w:eastAsia="仿宋_GB2312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中国工会是中国共产党领导的职工自愿结合的工人阶级群众组织，是党联系职工群众的桥梁和纽带，是国家政权的重要社会支柱，是会员和职工利益的代表。焦作市总工会技术协作办公室的主要职责是：开展技术协作，促进工会事业发展，对基层工会技术协作工作指导，群众性的技术革新、技术比赛、技术协作活动组织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二、预算单位构成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80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 xml:space="preserve">焦作市总工会技术协作办公室是全供事业单位，事业编制8人。现在职人员6人（正科1人、副科1人、科员4人），退休人员3人。  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第二部分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总工会技术协作办公室201</w:t>
      </w:r>
      <w:r>
        <w:rPr>
          <w:rFonts w:hint="eastAsia" w:ascii="仿宋_GB2312" w:hAnsi="仿宋_GB2312" w:eastAsia="仿宋_GB2312"/>
          <w:b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年度部门预算情况说明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一、收入支出预算总体情况说明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我单位201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年收入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24.32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万元，支出总计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24.32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万元，与201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年相比，收、支总计各增加4.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万元，增长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17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%。主要原因：机关事业单位基本养老保险缴费、基本医疗保险缴费、其他社会保障缴费、住房公积金、公务员医疗补助等增加。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二、收入预算总体情况说明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我单位201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年收入合计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24.32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万元，其中：一般公共预算收入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24.32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万元; 政府性基金预算收入0万元；国有资本经营预算收入0万元；其他收入0万元。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三、支出预算总体情况说明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我单位201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年支出合计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24.32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24.32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万元，项目支出0万元。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四、财政拨款收入支出预算总体情况说明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000000" w:themeColor="text1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我单位201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24.32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万元。政府性基金收支预算0万元，与 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年相比，一般公共预算收支预算增加</w:t>
      </w:r>
      <w:r>
        <w:rPr>
          <w:rFonts w:hint="eastAsia" w:ascii="仿宋_GB2312" w:hAnsi="仿宋_GB2312" w:eastAsia="仿宋_GB2312"/>
          <w:color w:val="000000" w:themeColor="text1"/>
          <w:position w:val="0"/>
          <w:sz w:val="32"/>
          <w:szCs w:val="32"/>
          <w:lang w:val="en-US" w:eastAsia="zh-CN"/>
        </w:rPr>
        <w:t>4.15</w:t>
      </w:r>
      <w:r>
        <w:rPr>
          <w:rFonts w:hint="default" w:ascii="仿宋_GB2312" w:hAnsi="仿宋_GB2312" w:eastAsia="仿宋_GB2312"/>
          <w:color w:val="000000" w:themeColor="text1"/>
          <w:position w:val="0"/>
          <w:sz w:val="32"/>
          <w:szCs w:val="32"/>
        </w:rPr>
        <w:t>万元，增长</w:t>
      </w:r>
      <w:r>
        <w:rPr>
          <w:rFonts w:hint="eastAsia" w:ascii="仿宋_GB2312" w:hAnsi="仿宋_GB2312" w:eastAsia="仿宋_GB2312"/>
          <w:color w:val="000000" w:themeColor="text1"/>
          <w:position w:val="0"/>
          <w:sz w:val="32"/>
          <w:szCs w:val="32"/>
          <w:lang w:val="en-US" w:eastAsia="zh-CN"/>
        </w:rPr>
        <w:t>17</w:t>
      </w:r>
      <w:r>
        <w:rPr>
          <w:rFonts w:hint="default" w:ascii="仿宋_GB2312" w:hAnsi="仿宋_GB2312" w:eastAsia="仿宋_GB2312"/>
          <w:color w:val="000000" w:themeColor="text1"/>
          <w:position w:val="0"/>
          <w:sz w:val="32"/>
          <w:szCs w:val="32"/>
        </w:rPr>
        <w:t>%，主要原因：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机关事业单位基本养老保险缴费、基本医疗保险缴费、其他社会保障缴费、住房公积金、公务员医疗补助等增加</w:t>
      </w:r>
      <w:r>
        <w:rPr>
          <w:rFonts w:hint="default" w:ascii="仿宋_GB2312" w:hAnsi="仿宋_GB2312" w:eastAsia="仿宋_GB2312"/>
          <w:color w:val="000000" w:themeColor="text1"/>
          <w:position w:val="0"/>
          <w:sz w:val="32"/>
          <w:szCs w:val="32"/>
        </w:rPr>
        <w:t>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五、一般公共预算支出预算情况说明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我单位201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24.32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万元。主要用于以下方面：社会保障支出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8.06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万元，占3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%；卫生与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eastAsia="zh-CN"/>
        </w:rPr>
        <w:t>健康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支出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4.89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万元，占2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%；住房保障支出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4.52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19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%。退休人员文明奖、健康修养费、公用经费、取暖费等支出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6.85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万元，占2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%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六、一般公共预算基本支出预算情况说明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我单位201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24.32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24.07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万元，主要包括：机关事业单位基本养老保险缴费、医疗保险缴费、其他社会保障缴费、住房公积金、退休费；公用经费0.25万元，主要包括：其他商品和服务支出。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七、政府性基金预算支出预算情况说明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我单位201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年没有使用政府性基金预算拨款安排的支出。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八、国有资本经营预算支出预算情况说明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我单位201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年没有使用国有资本经营预算拨款安排的支出。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九、“三公”经费支出预算情况说明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我单位201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年没有“三公”经费预算拨款安排的支出。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十、其他重要事项的情况说明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24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（一）政府采购支出情况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我单位201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年政府采购预算安排0万元。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（二）国有资产占用情况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年期末，我单位固定资产总额0万元，单价50万元以上通用设备0台（套），单位价值100万元以上专用设备0台（套）。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（三）关于预算部门构成说明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年我单位按照市财政预算公开要求，将所属预算单位全部纳入预算公开范围。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第三部分 名词解释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一、财政拨款收入：是指市级财政当年拨付的资金。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二、事业收入：是指事业单位开展专业活动及辅助活动所取得的收入。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1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七、机关运行经费：是指为保障行政机构正常运转及正常履职需要的办公费、水电费、日常维修、物业费、维修费、差旅费、公务用车运行维护费以及其他费用等支出。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八、其他（专业性较强的需向社会做出说明的名词）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九、工会经费：为保障工会组织的日常运行，维护职工合法权益，根据工会法规定，各单位按照工资总额的2%计提工会活动的经费。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十、职工代表大会：职工代表大会是职工群众当家作主、参加企业经营决策、管理、监督干部、行使民主权利的权利机构。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附件：焦作市总工会技术协作办公室201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年度部门预算表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 xml:space="preserve">                    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5616" w:firstLineChars="180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201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03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月18日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sectPr>
      <w:pgSz w:w="11906" w:h="16838"/>
      <w:pgMar w:top="2154" w:right="1474" w:bottom="1757" w:left="1587" w:header="851" w:footer="992" w:gutter="0"/>
      <w:pgNumType w:fmt="decimal"/>
      <w:docGrid w:type="linesAndChars" w:linePitch="312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000000"/>
    <w:rsid w:val="03D4347E"/>
    <w:rsid w:val="2CE210B3"/>
    <w:rsid w:val="448F3A30"/>
    <w:rsid w:val="6BD24738"/>
    <w:rsid w:val="7888395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153" w:semiHidden="0" w:name="header"/>
    <w:lsdException w:qFormat="1"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5">
    <w:name w:val="Default Paragraph Font"/>
    <w:semiHidden/>
    <w:unhideWhenUsed/>
    <w:uiPriority w:val="2"/>
  </w:style>
  <w:style w:type="table" w:default="1" w:styleId="24">
    <w:name w:val="Normal Table"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footer"/>
    <w:basedOn w:val="1"/>
    <w:link w:val="39"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link w:val="38"/>
    <w:uiPriority w:val="153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qFormat/>
    <w:uiPriority w:val="26"/>
    <w:pPr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  <w:style w:type="character" w:customStyle="1" w:styleId="38">
    <w:name w:val="页眉 Char"/>
    <w:basedOn w:val="25"/>
    <w:link w:val="16"/>
    <w:qFormat/>
    <w:uiPriority w:val="154"/>
    <w:rPr>
      <w:rFonts w:ascii="Calibri" w:hAnsi="Calibri" w:eastAsia="宋体"/>
      <w:w w:val="100"/>
      <w:sz w:val="18"/>
      <w:szCs w:val="18"/>
      <w:shd w:val="clear"/>
    </w:rPr>
  </w:style>
  <w:style w:type="character" w:customStyle="1" w:styleId="39">
    <w:name w:val="页脚 Char"/>
    <w:basedOn w:val="25"/>
    <w:link w:val="15"/>
    <w:qFormat/>
    <w:uiPriority w:val="155"/>
    <w:rPr>
      <w:rFonts w:ascii="Calibri" w:hAnsi="Calibri" w:eastAsia="宋体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342</Words>
  <Characters>2291</Characters>
  <Lines>16</Lines>
  <Paragraphs>4</Paragraphs>
  <TotalTime>70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2019-03-18T02:00:00Z</dcterms:created>
  <dc:creator>Administrator</dc:creator>
  <cp:lastModifiedBy>Administrator</cp:lastModifiedBy>
  <dcterms:modified xsi:type="dcterms:W3CDTF">2019-03-18T07:44:40Z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